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8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800413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proofErr w:type="spellStart"/>
      <w:r w:rsidR="004A3A55">
        <w:rPr>
          <w:b/>
          <w:sz w:val="28"/>
          <w:szCs w:val="28"/>
        </w:rPr>
        <w:t>Biritiba</w:t>
      </w:r>
      <w:proofErr w:type="spellEnd"/>
      <w:r w:rsidR="004A3A55">
        <w:rPr>
          <w:b/>
          <w:sz w:val="28"/>
          <w:szCs w:val="28"/>
        </w:rPr>
        <w:t xml:space="preserve"> Mirim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4A3A55">
        <w:t>16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807A1">
        <w:t>C</w:t>
      </w:r>
      <w:r w:rsidR="004A3A55">
        <w:t>entro de Convenções</w:t>
      </w:r>
    </w:p>
    <w:p w:rsidR="005820F3" w:rsidRDefault="005820F3" w:rsidP="005820F3">
      <w:pPr>
        <w:spacing w:after="0"/>
      </w:pPr>
      <w:r>
        <w:t xml:space="preserve">Presentes: </w:t>
      </w:r>
      <w:r w:rsidR="004A3A55">
        <w:t>17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4A3A55" w:rsidP="00A21D44">
      <w:pPr>
        <w:spacing w:after="0"/>
        <w:jc w:val="center"/>
      </w:pPr>
      <w:r w:rsidRPr="004A3A55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4A3A55" w:rsidP="00A21D44">
      <w:pPr>
        <w:spacing w:after="0"/>
        <w:jc w:val="center"/>
      </w:pPr>
      <w:r w:rsidRPr="004A3A55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4A3A55" w:rsidP="002A2F4A">
      <w:pPr>
        <w:spacing w:after="0"/>
        <w:jc w:val="center"/>
      </w:pPr>
      <w:r w:rsidRPr="004A3A55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E6878"/>
    <w:rsid w:val="001975A6"/>
    <w:rsid w:val="001D6777"/>
    <w:rsid w:val="001F6BB1"/>
    <w:rsid w:val="001F6D85"/>
    <w:rsid w:val="00224E6F"/>
    <w:rsid w:val="00285C25"/>
    <w:rsid w:val="002A2F4A"/>
    <w:rsid w:val="002D7874"/>
    <w:rsid w:val="004A3A55"/>
    <w:rsid w:val="00572802"/>
    <w:rsid w:val="005820F3"/>
    <w:rsid w:val="00646B10"/>
    <w:rsid w:val="00662F45"/>
    <w:rsid w:val="006807A1"/>
    <w:rsid w:val="006D019D"/>
    <w:rsid w:val="0074067F"/>
    <w:rsid w:val="00765753"/>
    <w:rsid w:val="007D1460"/>
    <w:rsid w:val="007F2282"/>
    <w:rsid w:val="00800413"/>
    <w:rsid w:val="00803876"/>
    <w:rsid w:val="00923018"/>
    <w:rsid w:val="00981699"/>
    <w:rsid w:val="00983188"/>
    <w:rsid w:val="009B03F9"/>
    <w:rsid w:val="009E5981"/>
    <w:rsid w:val="00A06F91"/>
    <w:rsid w:val="00A21D44"/>
    <w:rsid w:val="00AC5A4B"/>
    <w:rsid w:val="00C6518F"/>
    <w:rsid w:val="00CD300D"/>
    <w:rsid w:val="00D02FC8"/>
    <w:rsid w:val="00E05782"/>
    <w:rsid w:val="00E44420"/>
    <w:rsid w:val="00E878C3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Gráficos_L!$A$37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Gráficos_L!$B$36:$C$36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Gráficos_L!$B$37:$C$37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Gráficos_L!$A$38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Gráficos_L!$B$36:$C$36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Gráficos_L!$B$38:$C$38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overlap val="100"/>
        <c:axId val="66875776"/>
        <c:axId val="66877696"/>
      </c:barChart>
      <c:catAx>
        <c:axId val="6687577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7696"/>
        <c:crosses val="autoZero"/>
        <c:auto val="1"/>
        <c:lblAlgn val="ctr"/>
        <c:lblOffset val="100"/>
      </c:catAx>
      <c:valAx>
        <c:axId val="66877696"/>
        <c:scaling>
          <c:orientation val="minMax"/>
          <c:max val="2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57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52E-2"/>
                  <c:y val="1.66204986149585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2.5375404023864137E-2"/>
                  <c:y val="5.7971014492753624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7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31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Gráficos_L!$B$20:$B$24</c:f>
              <c:strCache>
                <c:ptCount val="5"/>
                <c:pt idx="0">
                  <c:v>Meio Ambiente</c:v>
                </c:pt>
                <c:pt idx="1">
                  <c:v>Transporte e Logística</c:v>
                </c:pt>
                <c:pt idx="2">
                  <c:v>Ordenamento Territorial</c:v>
                </c:pt>
                <c:pt idx="3">
                  <c:v>Desenvolvimento Econômico</c:v>
                </c:pt>
                <c:pt idx="4">
                  <c:v>Habitação e Vulnerabilidade</c:v>
                </c:pt>
              </c:strCache>
            </c:strRef>
          </c:cat>
          <c:val>
            <c:numRef>
              <c:f>Gráficos_L!$D$20:$D$24</c:f>
              <c:numCache>
                <c:formatCode>0.00%</c:formatCode>
                <c:ptCount val="5"/>
                <c:pt idx="0">
                  <c:v>0.28571428571428581</c:v>
                </c:pt>
                <c:pt idx="1">
                  <c:v>0.28571428571428581</c:v>
                </c:pt>
                <c:pt idx="2">
                  <c:v>0.1428571428571429</c:v>
                </c:pt>
                <c:pt idx="3">
                  <c:v>0.1428571428571429</c:v>
                </c:pt>
                <c:pt idx="4">
                  <c:v>0.1428571428571429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52E-2"/>
                  <c:y val="1.66204986149585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1.1601528823495619E-2"/>
                  <c:y val="1.159420289855072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7.2992988102764528E-2"/>
                  <c:y val="-7.9712427250941704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31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Gráficos_L!$B$28:$B$33</c:f>
              <c:strCache>
                <c:ptCount val="6"/>
                <c:pt idx="0">
                  <c:v>Cultura e Patrimônio Histórico</c:v>
                </c:pt>
                <c:pt idx="1">
                  <c:v>Segurança Pública</c:v>
                </c:pt>
                <c:pt idx="2">
                  <c:v>Saúde Pública</c:v>
                </c:pt>
                <c:pt idx="3">
                  <c:v>Energia</c:v>
                </c:pt>
                <c:pt idx="4">
                  <c:v>Educação</c:v>
                </c:pt>
                <c:pt idx="5">
                  <c:v>Assistência Social</c:v>
                </c:pt>
              </c:strCache>
            </c:strRef>
          </c:cat>
          <c:val>
            <c:numRef>
              <c:f>Gráficos_L!$D$28:$D$33</c:f>
              <c:numCache>
                <c:formatCode>0.00%</c:formatCode>
                <c:ptCount val="6"/>
                <c:pt idx="0">
                  <c:v>0.23076923076923084</c:v>
                </c:pt>
                <c:pt idx="1">
                  <c:v>0.23076923076923084</c:v>
                </c:pt>
                <c:pt idx="2">
                  <c:v>0.23076923076923084</c:v>
                </c:pt>
                <c:pt idx="3">
                  <c:v>0.15384615384615391</c:v>
                </c:pt>
                <c:pt idx="4">
                  <c:v>7.6923076923076927E-2</c:v>
                </c:pt>
                <c:pt idx="5">
                  <c:v>7.6923076923076927E-2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12</cp:revision>
  <dcterms:created xsi:type="dcterms:W3CDTF">2017-10-03T12:56:00Z</dcterms:created>
  <dcterms:modified xsi:type="dcterms:W3CDTF">2017-10-24T17:08:00Z</dcterms:modified>
</cp:coreProperties>
</file>